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44"/>
        </w:rPr>
      </w:pPr>
      <w:r>
        <w:rPr>
          <w:rFonts w:ascii="Times New Roman" w:hAnsi="Times New Roman"/>
          <w:b/>
          <w:sz w:val="44"/>
        </w:rPr>
        <w:softHyphen/>
      </w:r>
      <w:r>
        <w:rPr>
          <w:rFonts w:ascii="Times New Roman" w:hAnsi="Times New Roman"/>
          <w:b/>
          <w:sz w:val="44"/>
        </w:rPr>
        <w:t>СМЕТА ДОХОДОВ  СНТ «МИРНЫЙ»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  <w:t>на 2-полугодие 2019 г.  – 1-полугодие 2020 г.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</w:r>
    </w:p>
    <w:tbl>
      <w:tblPr>
        <w:tblStyle w:val="MediumGrid3-Accent3"/>
        <w:tblW w:w="9781" w:type="dxa"/>
        <w:jc w:val="left"/>
        <w:tblInd w:w="-459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709"/>
        <w:gridCol w:w="5670"/>
        <w:gridCol w:w="1701"/>
        <w:gridCol w:w="1700"/>
      </w:tblGrid>
      <w:tr>
        <w:trPr>
          <w:cnfStyle w:val="100000000000"/>
        </w:trPr>
        <w:tc>
          <w:tcPr>
            <w:tcW w:w="709" w:type="dxa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ru-RU"/>
              </w:rPr>
              <w:t>№</w:t>
            </w:r>
          </w:p>
        </w:tc>
        <w:tc>
          <w:tcPr>
            <w:tcW w:w="5670" w:type="dxa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ru-RU"/>
              </w:rPr>
              <w:t>Статья доходов</w:t>
            </w:r>
          </w:p>
        </w:tc>
        <w:tc>
          <w:tcPr>
            <w:tcW w:w="3401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en-US"/>
              </w:rPr>
              <w:t>Сумма (тыс.руб.)</w:t>
            </w:r>
          </w:p>
        </w:tc>
      </w:tr>
      <w:tr>
        <w:trPr>
          <w:trHeight w:val="69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sz w:val="40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40"/>
                <w:szCs w:val="22"/>
                <w:lang w:val="en-US"/>
              </w:rPr>
              <w:t>,75 руб/кв 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40"/>
                <w:szCs w:val="22"/>
                <w:lang w:val="en-US"/>
              </w:rPr>
              <w:t>,00 руб/кв м</w:t>
            </w:r>
          </w:p>
        </w:tc>
      </w:tr>
      <w:tr>
        <w:trPr>
          <w:trHeight w:val="679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Переходящий остаток на 01.07.2019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szCs w:val="22"/>
                <w:lang w:val="en-US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341,413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  <w:szCs w:val="22"/>
                <w:lang w:val="en-US"/>
              </w:rPr>
            </w:pPr>
            <w:r>
              <w:rPr>
                <w:sz w:val="40"/>
                <w:szCs w:val="22"/>
                <w:lang w:val="en-US"/>
              </w:rPr>
              <w:t>341,413</w:t>
            </w:r>
          </w:p>
        </w:tc>
      </w:tr>
      <w:tr>
        <w:trPr>
          <w:trHeight w:val="703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Сбор членских взносов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4 670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5 340</w:t>
            </w:r>
          </w:p>
        </w:tc>
      </w:tr>
      <w:tr>
        <w:trPr>
          <w:trHeight w:val="686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 xml:space="preserve">Целевой взнос </w:t>
            </w:r>
            <w:r>
              <w:rPr>
                <w:rFonts w:ascii="Times New Roman" w:hAnsi="Times New Roman"/>
                <w:sz w:val="32"/>
                <w:szCs w:val="22"/>
                <w:lang w:val="en-US"/>
              </w:rPr>
              <w:t>(ремонт ТП-151)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90</w:t>
            </w:r>
          </w:p>
        </w:tc>
      </w:tr>
      <w:tr>
        <w:trPr>
          <w:trHeight w:val="141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 xml:space="preserve">Иные поступления </w:t>
            </w:r>
            <w:r>
              <w:rPr>
                <w:rFonts w:ascii="Times New Roman" w:hAnsi="Times New Roman"/>
                <w:sz w:val="32"/>
                <w:szCs w:val="22"/>
                <w:lang w:val="en-US"/>
              </w:rPr>
              <w:t>(компенсация за износ дороги при строительстве, дорожный фонд, субботник и прочее)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44"/>
        </w:rPr>
      </w:pPr>
      <w:r>
        <w:rPr>
          <w:rFonts w:ascii="Times New Roman" w:hAnsi="Times New Roman"/>
          <w:b/>
          <w:sz w:val="44"/>
        </w:rPr>
        <w:t>СМЕТА РАСХОДОВ  СНТ «МИРНЫЙ»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  <w:t>на 2-полугодие 2019 г.  – 1-полугодие 2020 г.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</w:r>
    </w:p>
    <w:tbl>
      <w:tblPr>
        <w:tblStyle w:val="MediumGrid3-Accent3"/>
        <w:tblW w:w="10207" w:type="dxa"/>
        <w:jc w:val="left"/>
        <w:tblInd w:w="-743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851"/>
        <w:gridCol w:w="5958"/>
        <w:gridCol w:w="1697"/>
        <w:gridCol w:w="1700"/>
      </w:tblGrid>
      <w:tr>
        <w:trPr>
          <w:trHeight w:val="1072" w:hRule="atLeast"/>
          <w:cnfStyle w:val="100000000000"/>
        </w:trPr>
        <w:tc>
          <w:tcPr>
            <w:tcW w:w="851" w:type="dxa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ru-RU"/>
              </w:rPr>
              <w:t>№</w:t>
            </w:r>
          </w:p>
        </w:tc>
        <w:tc>
          <w:tcPr>
            <w:tcW w:w="5958" w:type="dxa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ru-RU"/>
              </w:rPr>
              <w:t>Статья расходов</w:t>
            </w:r>
          </w:p>
        </w:tc>
        <w:tc>
          <w:tcPr>
            <w:tcW w:w="3397" w:type="dxa"/>
            <w:gridSpan w:val="2"/>
            <w:tcBorders>
              <w:bottom w:val="single" w:sz="6" w:space="0" w:color="000000"/>
              <w:insideH w:val="single" w:sz="6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en-US"/>
              </w:rPr>
              <w:t>Сумма (тыс.руб.)</w:t>
            </w:r>
          </w:p>
        </w:tc>
      </w:tr>
      <w:tr>
        <w:trPr>
          <w:trHeight w:val="1120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sz w:val="40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40"/>
                <w:szCs w:val="22"/>
                <w:lang w:val="en-US"/>
              </w:rPr>
              <w:t>,75 руб/кв 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40"/>
                <w:szCs w:val="22"/>
                <w:lang w:val="en-US"/>
              </w:rPr>
              <w:t>,00 руб/кв м</w:t>
            </w:r>
          </w:p>
        </w:tc>
      </w:tr>
      <w:tr>
        <w:trPr>
          <w:trHeight w:val="1122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ФОТ, налоги на з/плату, налог на земли общего пользования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2 500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2 500</w:t>
            </w:r>
          </w:p>
        </w:tc>
      </w:tr>
      <w:tr>
        <w:trPr>
          <w:trHeight w:val="1124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Техобслуживание и развитие энергохозяйства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1 600</w:t>
            </w:r>
          </w:p>
        </w:tc>
      </w:tr>
      <w:tr>
        <w:trPr>
          <w:trHeight w:val="686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3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Cs w:val="22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Вывоз мусора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600</w:t>
            </w:r>
          </w:p>
        </w:tc>
      </w:tr>
      <w:tr>
        <w:trPr>
          <w:trHeight w:val="1416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4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Административно-хозяйственные расходы (</w:t>
            </w:r>
            <w:r>
              <w:rPr>
                <w:rFonts w:ascii="Times New Roman" w:hAnsi="Times New Roman"/>
                <w:sz w:val="32"/>
                <w:szCs w:val="22"/>
                <w:lang w:val="en-US"/>
              </w:rPr>
              <w:t>вкл. юридические услуги)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360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360</w:t>
            </w:r>
          </w:p>
        </w:tc>
      </w:tr>
      <w:tr>
        <w:trPr>
          <w:trHeight w:val="1057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5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Оплата электроэнергии на общие нужды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280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6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Благоустройство территории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7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Ремонт дорог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200</w:t>
            </w:r>
          </w:p>
        </w:tc>
      </w:tr>
      <w:tr>
        <w:trPr>
          <w:trHeight w:val="105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8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Ремонт летнего водопровода, трактора, покупка топлива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jc w:val="center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9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Резервный фонд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555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en-US"/>
              </w:rPr>
              <w:t>ИТОГО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170" w:hanging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44"/>
        </w:rPr>
      </w:pPr>
      <w:r>
        <w:rPr>
          <w:rFonts w:ascii="Times New Roman" w:hAnsi="Times New Roman"/>
          <w:b/>
          <w:sz w:val="44"/>
        </w:rPr>
        <w:t>СМЕТА ДОХОДОВ И РАСХОДОВ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4"/>
        </w:rPr>
        <w:t xml:space="preserve">  </w:t>
      </w:r>
      <w:r>
        <w:rPr>
          <w:rFonts w:ascii="Times New Roman" w:hAnsi="Times New Roman"/>
          <w:b/>
          <w:sz w:val="40"/>
        </w:rPr>
        <w:t>ВСЕСЕЗОННОГО ВОДОПРОВОДА СНТ «МИРНЫЙ»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  <w:t>на 2-полугодие 2019 г.  – 1-полугодие 2020 г.</w:t>
      </w:r>
    </w:p>
    <w:p>
      <w:pPr>
        <w:pStyle w:val="Normal"/>
        <w:jc w:val="center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</w:r>
    </w:p>
    <w:tbl>
      <w:tblPr>
        <w:tblStyle w:val="MediumGrid3-Accent3"/>
        <w:tblW w:w="9357" w:type="dxa"/>
        <w:jc w:val="left"/>
        <w:tblInd w:w="-318" w:type="dxa"/>
        <w:tblCellMar>
          <w:top w:w="0" w:type="dxa"/>
          <w:left w:w="107" w:type="dxa"/>
          <w:bottom w:w="0" w:type="dxa"/>
          <w:right w:w="108" w:type="dxa"/>
        </w:tblCellMar>
        <w:tblLook w:val="0620"/>
      </w:tblPr>
      <w:tblGrid>
        <w:gridCol w:w="567"/>
        <w:gridCol w:w="6946"/>
        <w:gridCol w:w="1844"/>
      </w:tblGrid>
      <w:tr>
        <w:trPr>
          <w:trHeight w:val="490" w:hRule="atLeast"/>
          <w:cnfStyle w:val="1000000000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color="auto" w:fill="00B050" w:val="clear"/>
          </w:tcPr>
          <w:p>
            <w:pPr>
              <w:pStyle w:val="Normal"/>
              <w:spacing w:before="0" w:after="0"/>
              <w:rPr>
                <w:b/>
                <w:b/>
                <w:bCs/>
                <w:i w:val="false"/>
                <w:i w:val="false"/>
                <w:iCs w:val="false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bCs/>
                <w:i w:val="false"/>
                <w:iCs w:val="false"/>
                <w:color w:val="FFFFFF" w:themeColor="background1"/>
                <w:sz w:val="22"/>
                <w:szCs w:val="22"/>
                <w:lang w:val="en-US"/>
              </w:rPr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00B050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FFFFFF" w:themeColor="background1"/>
                <w:sz w:val="4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en-US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FFFFFF" w:themeColor="background1"/>
                <w:sz w:val="40"/>
                <w:szCs w:val="22"/>
                <w:lang w:val="en-US"/>
              </w:rPr>
              <w:t>Тыс.руб.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22"/>
                <w:lang w:val="ru-RU"/>
              </w:rPr>
              <w:t>Переходящий остаток на 01.07.2019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sz w:val="40"/>
              </w:rPr>
            </w:pPr>
            <w:r>
              <w:rPr>
                <w:b/>
                <w:sz w:val="40"/>
                <w:szCs w:val="22"/>
                <w:lang w:val="en-US"/>
              </w:rPr>
              <w:t>530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22"/>
                <w:lang w:val="en-US"/>
              </w:rPr>
              <w:t>ДОХОДЫ: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sz w:val="40"/>
              </w:rPr>
            </w:pPr>
            <w:r>
              <w:rPr>
                <w:b/>
                <w:sz w:val="40"/>
                <w:szCs w:val="22"/>
                <w:lang w:val="en-US"/>
              </w:rPr>
              <w:t>660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Взносы, погашение задолженности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590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sz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22"/>
                <w:lang w:val="ru-RU"/>
              </w:rPr>
              <w:t>Новые подключения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sz w:val="40"/>
              </w:rPr>
            </w:pPr>
            <w:r>
              <w:rPr>
                <w:sz w:val="40"/>
                <w:szCs w:val="22"/>
                <w:lang w:val="en-US"/>
              </w:rPr>
              <w:t>70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22"/>
                <w:lang w:val="en-US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sz w:val="40"/>
              </w:rPr>
            </w:pPr>
            <w:r>
              <w:rPr>
                <w:b/>
                <w:sz w:val="40"/>
                <w:szCs w:val="22"/>
                <w:lang w:val="en-US"/>
              </w:rPr>
              <w:t>1 190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22"/>
                <w:lang w:val="ru-RU"/>
              </w:rPr>
              <w:t>РАСХОДЫ: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sz w:val="40"/>
              </w:rPr>
            </w:pPr>
            <w:r>
              <w:rPr>
                <w:b/>
                <w:sz w:val="40"/>
                <w:szCs w:val="22"/>
                <w:lang w:val="en-US"/>
              </w:rPr>
              <w:t>950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bCs/>
                <w:sz w:val="40"/>
                <w:lang w:val="ru-RU"/>
              </w:rPr>
            </w:pPr>
            <w:r>
              <w:rPr>
                <w:rFonts w:ascii="Times New Roman" w:hAnsi="Times New Roman"/>
                <w:bCs/>
                <w:sz w:val="40"/>
                <w:szCs w:val="22"/>
                <w:lang w:val="ru-RU"/>
              </w:rPr>
              <w:t>Зарплата слесаря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360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bCs/>
                <w:sz w:val="40"/>
                <w:lang w:val="ru-RU"/>
              </w:rPr>
            </w:pPr>
            <w:r>
              <w:rPr>
                <w:rFonts w:ascii="Times New Roman" w:hAnsi="Times New Roman"/>
                <w:bCs/>
                <w:sz w:val="40"/>
                <w:szCs w:val="22"/>
                <w:lang w:val="ru-RU"/>
              </w:rPr>
              <w:t>Покупка соли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260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bCs/>
                <w:sz w:val="40"/>
              </w:rPr>
            </w:pPr>
            <w:r>
              <w:rPr>
                <w:rFonts w:ascii="Times New Roman" w:hAnsi="Times New Roman"/>
                <w:bCs/>
                <w:sz w:val="40"/>
                <w:szCs w:val="22"/>
                <w:lang w:val="en-US"/>
              </w:rPr>
              <w:t>Ремонт и техобслуживание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170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left="227" w:hanging="0"/>
              <w:rPr>
                <w:rFonts w:ascii="Times New Roman" w:hAnsi="Times New Roman"/>
                <w:bCs/>
                <w:sz w:val="40"/>
              </w:rPr>
            </w:pPr>
            <w:r>
              <w:rPr>
                <w:rFonts w:ascii="Times New Roman" w:hAnsi="Times New Roman"/>
                <w:bCs/>
                <w:sz w:val="40"/>
                <w:szCs w:val="22"/>
                <w:lang w:val="en-US"/>
              </w:rPr>
              <w:t>Оплата электроэнергии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Cs/>
                <w:sz w:val="40"/>
              </w:rPr>
            </w:pPr>
            <w:r>
              <w:rPr>
                <w:bCs/>
                <w:sz w:val="40"/>
                <w:szCs w:val="22"/>
                <w:lang w:val="en-US"/>
              </w:rPr>
              <w:t>160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22"/>
                <w:lang w:val="en-US"/>
              </w:rPr>
              <w:t>Резервный фонд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bCs/>
                <w:sz w:val="40"/>
              </w:rPr>
            </w:pPr>
            <w:r>
              <w:rPr>
                <w:b/>
                <w:bCs/>
                <w:sz w:val="40"/>
                <w:szCs w:val="22"/>
                <w:lang w:val="en-US"/>
              </w:rPr>
              <w:t>240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bCs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22"/>
                <w:lang w:val="en-US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E6EED5" w:val="clear"/>
          </w:tcPr>
          <w:p>
            <w:pPr>
              <w:pStyle w:val="Normal"/>
              <w:spacing w:before="0" w:after="0"/>
              <w:ind w:right="284" w:hanging="0"/>
              <w:jc w:val="right"/>
              <w:rPr>
                <w:b/>
                <w:b/>
                <w:bCs/>
                <w:sz w:val="40"/>
              </w:rPr>
            </w:pPr>
            <w:r>
              <w:rPr>
                <w:b/>
                <w:bCs/>
                <w:sz w:val="40"/>
                <w:szCs w:val="22"/>
                <w:lang w:val="en-US"/>
              </w:rPr>
              <w:t>1 190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Medium Grid 2 Accent 3" w:uiPriority="68"/>
    <w:lsdException w:name="Medium Grid 3 Accent 3" w:uiPriority="69"/>
  </w:latentStyles>
  <w:style w:type="paragraph" w:styleId="Normal" w:default="1">
    <w:name w:val="Normal"/>
    <w:qFormat/>
    <w:rsid w:val="00ee6825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c811fb"/>
    <w:pPr>
      <w:spacing w:after="0"/>
    </w:pPr>
    <w:rPr>
      <w:lang w:val="en-US"/>
      <w:sz w:val="22"/>
      <w:szCs w:val="22"/>
    </w:r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c52c95"/>
    <w:pPr>
      <w:spacing w:after="0"/>
    </w:pPr>
    <w:rPr>
      <w:rFonts w:asciiTheme="majorHAnsi" w:hAnsiTheme="majorHAnsi" w:eastAsiaTheme="majorEastAsia" w:cstheme="majorBidi"/>
      <w:lang w:val="en-US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LibreOffice/6.1.0.3$MacOSX_X86_64 LibreOffice_project/efb621ed25068d70781dc026f7e9c5187a4decd1</Application>
  <Pages>3</Pages>
  <Words>210</Words>
  <Characters>1104</Characters>
  <CharactersWithSpaces>1223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2019-06-21T09:36:00Z</dcterms:created>
  <dc:creator>User</dc:creator>
  <dc:description/>
  <dc:language>ru-RU</dc:language>
  <cp:lastModifiedBy>Евгений Степанов</cp:lastModifiedBy>
  <cp:lastPrinted>2019-06-21T11:01:00Z</cp:lastPrinted>
  <dcterms:modified xsi:type="dcterms:W3CDTF">2019-07-07T12:27:25Z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